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9C9F" w14:textId="08437E0E" w:rsidR="00E73715" w:rsidRPr="006070CC" w:rsidRDefault="000D476E" w:rsidP="000D476E">
      <w:pPr>
        <w:ind w:firstLine="360"/>
        <w:jc w:val="right"/>
        <w:rPr>
          <w:b/>
          <w:bCs/>
        </w:rPr>
      </w:pPr>
      <w:r w:rsidRPr="006070CC">
        <w:rPr>
          <w:b/>
          <w:bCs/>
        </w:rPr>
        <w:t>Załącznik nr 1</w:t>
      </w:r>
    </w:p>
    <w:p w14:paraId="270DDF04" w14:textId="408809DF" w:rsidR="00F15D31" w:rsidRPr="00F15D31" w:rsidRDefault="00F15D31" w:rsidP="00F15D31">
      <w:pPr>
        <w:ind w:firstLine="360"/>
        <w:jc w:val="center"/>
      </w:pPr>
      <w:r w:rsidRPr="00F15D31">
        <w:t>Opis przedmiotu zamówienia</w:t>
      </w:r>
    </w:p>
    <w:p w14:paraId="138CF68D" w14:textId="01F83A35" w:rsidR="00B80578" w:rsidRDefault="00413E15" w:rsidP="001443C2">
      <w:pPr>
        <w:ind w:firstLine="360"/>
        <w:jc w:val="center"/>
      </w:pPr>
      <w:r>
        <w:t xml:space="preserve"> </w:t>
      </w:r>
    </w:p>
    <w:p w14:paraId="51C72001" w14:textId="018C1C74" w:rsidR="00F31CEB" w:rsidRDefault="00DD72D5" w:rsidP="00F15D31">
      <w:pPr>
        <w:ind w:firstLine="360"/>
        <w:jc w:val="both"/>
      </w:pPr>
      <w:r>
        <w:t xml:space="preserve">Przedmiotem dostawy jest chodnik </w:t>
      </w:r>
      <w:r w:rsidR="009E22EE">
        <w:t>ruchomy</w:t>
      </w:r>
      <w:r>
        <w:t xml:space="preserve"> do </w:t>
      </w:r>
      <w:r w:rsidR="001E186B">
        <w:t>zabudow</w:t>
      </w:r>
      <w:r>
        <w:t>y</w:t>
      </w:r>
      <w:r w:rsidR="001E186B">
        <w:t xml:space="preserve"> w wyrobiska dołowych </w:t>
      </w:r>
      <w:r w:rsidR="00D14690">
        <w:t>Sztolni Królowa Luiza (</w:t>
      </w:r>
      <w:r w:rsidR="001E186B">
        <w:t>Główn</w:t>
      </w:r>
      <w:r w:rsidR="00655C72">
        <w:t>a</w:t>
      </w:r>
      <w:r w:rsidR="001E186B">
        <w:t xml:space="preserve"> Kluczow</w:t>
      </w:r>
      <w:r w:rsidR="00655C72">
        <w:t>a</w:t>
      </w:r>
      <w:r w:rsidR="001E186B">
        <w:t xml:space="preserve"> Sztolni</w:t>
      </w:r>
      <w:r w:rsidR="00655C72">
        <w:t>a</w:t>
      </w:r>
      <w:r w:rsidR="001E186B">
        <w:t xml:space="preserve"> Dziedziczn</w:t>
      </w:r>
      <w:r w:rsidR="00655C72">
        <w:t>a)</w:t>
      </w:r>
      <w:r>
        <w:t xml:space="preserve"> w</w:t>
      </w:r>
      <w:r w:rsidR="007B52E9">
        <w:t xml:space="preserve">  </w:t>
      </w:r>
      <w:r w:rsidR="002E5441">
        <w:t xml:space="preserve">sztolnia południowa pomiędzy przecinka 3 a przecinką </w:t>
      </w:r>
      <w:r w:rsidR="001430C4">
        <w:t>5.</w:t>
      </w:r>
      <w:r w:rsidR="008102FB">
        <w:t xml:space="preserve"> Chodnik należy dostarczyć wraz z niezbędnym osprzętem oraz przeprowadzić</w:t>
      </w:r>
      <w:r w:rsidR="00C21D93">
        <w:t xml:space="preserve"> proces certyfikacji </w:t>
      </w:r>
      <w:r w:rsidR="00754FE6">
        <w:t>jako urządzenie transport</w:t>
      </w:r>
      <w:r w:rsidR="00FF6D8E">
        <w:t>owe</w:t>
      </w:r>
      <w:r w:rsidR="00754FE6">
        <w:t xml:space="preserve"> specjalne</w:t>
      </w:r>
      <w:r w:rsidR="00FF6D8E">
        <w:t xml:space="preserve"> </w:t>
      </w:r>
      <w:r w:rsidR="00FF6D8E" w:rsidRPr="00FF6D8E">
        <w:t xml:space="preserve">zgodnie </w:t>
      </w:r>
      <w:r w:rsidR="00FF6D8E" w:rsidRPr="006C1D7E">
        <w:t xml:space="preserve">z </w:t>
      </w:r>
      <w:r w:rsidR="006C1D7E">
        <w:t>z</w:t>
      </w:r>
      <w:r w:rsidR="006C1D7E" w:rsidRPr="006C1D7E">
        <w:t>ałącznik</w:t>
      </w:r>
      <w:r w:rsidR="001002D5">
        <w:t>iem</w:t>
      </w:r>
      <w:r w:rsidR="006C1D7E" w:rsidRPr="006C1D7E">
        <w:t xml:space="preserve"> nr 4</w:t>
      </w:r>
      <w:r w:rsidR="006C1D7E">
        <w:t xml:space="preserve"> do </w:t>
      </w:r>
      <w:r w:rsidR="006C1D7E" w:rsidRPr="006C1D7E">
        <w:t>Rozporządzenia Ministra Energii w sprawie szczegółowych wymagań dotyczących prowadzenia ruchu podziemnych zakładów górniczych</w:t>
      </w:r>
      <w:r w:rsidR="001002D5">
        <w:t>.</w:t>
      </w:r>
    </w:p>
    <w:p w14:paraId="02CCB6FF" w14:textId="134DD01B" w:rsidR="007C263D" w:rsidRDefault="007C263D" w:rsidP="007C263D">
      <w:pPr>
        <w:pStyle w:val="Akapitzlist"/>
        <w:numPr>
          <w:ilvl w:val="0"/>
          <w:numId w:val="1"/>
        </w:numPr>
      </w:pPr>
      <w:r>
        <w:t>Specyfikacja techniczna</w:t>
      </w:r>
      <w:r w:rsidR="009E22EE">
        <w:t xml:space="preserve"> chodnika ruchomego</w:t>
      </w:r>
      <w:r>
        <w:t>:</w:t>
      </w:r>
    </w:p>
    <w:p w14:paraId="02950B90" w14:textId="7689F852" w:rsidR="00465AB2" w:rsidRDefault="007C263D" w:rsidP="003C7401">
      <w:pPr>
        <w:pStyle w:val="Akapitzlist"/>
        <w:numPr>
          <w:ilvl w:val="0"/>
          <w:numId w:val="2"/>
        </w:numPr>
      </w:pPr>
      <w:r>
        <w:t xml:space="preserve">Długość: </w:t>
      </w:r>
      <w:r w:rsidR="00382C8B">
        <w:t xml:space="preserve"> </w:t>
      </w:r>
      <w:r>
        <w:t>100 metrów</w:t>
      </w:r>
      <w:r w:rsidR="00400681">
        <w:t xml:space="preserve"> </w:t>
      </w:r>
      <w:r w:rsidR="00400681">
        <w:rPr>
          <w:rFonts w:cstheme="minorHAnsi"/>
        </w:rPr>
        <w:t>±</w:t>
      </w:r>
      <w:r w:rsidR="00400681">
        <w:t>2m</w:t>
      </w:r>
      <w:r w:rsidR="00142CF3">
        <w:t>,</w:t>
      </w:r>
    </w:p>
    <w:p w14:paraId="721F9C57" w14:textId="77777777" w:rsidR="001002D5" w:rsidRDefault="001002D5" w:rsidP="001002D5">
      <w:pPr>
        <w:pStyle w:val="Akapitzlist"/>
        <w:numPr>
          <w:ilvl w:val="0"/>
          <w:numId w:val="2"/>
        </w:numPr>
      </w:pPr>
      <w:r>
        <w:t>Prędkość jazdy regulowana płynnie: do 0,7 m/s;</w:t>
      </w:r>
    </w:p>
    <w:p w14:paraId="08259738" w14:textId="7B6EB3B0" w:rsidR="0020509D" w:rsidRDefault="0020509D" w:rsidP="001002D5">
      <w:pPr>
        <w:pStyle w:val="Akapitzlist"/>
        <w:numPr>
          <w:ilvl w:val="0"/>
          <w:numId w:val="2"/>
        </w:numPr>
      </w:pPr>
      <w:r>
        <w:t>Szerokość elementu transportowego – min. 800mm</w:t>
      </w:r>
    </w:p>
    <w:p w14:paraId="101F104B" w14:textId="6D203887" w:rsidR="001002D5" w:rsidRDefault="001002D5" w:rsidP="001002D5">
      <w:pPr>
        <w:pStyle w:val="Akapitzlist"/>
        <w:numPr>
          <w:ilvl w:val="0"/>
          <w:numId w:val="2"/>
        </w:numPr>
      </w:pPr>
      <w:r>
        <w:t>Możliwość jazdy dwukierunkowej,</w:t>
      </w:r>
    </w:p>
    <w:p w14:paraId="5FE2D4C8" w14:textId="732B01F9" w:rsidR="00142CF3" w:rsidRDefault="0040548A" w:rsidP="00142CF3">
      <w:pPr>
        <w:pStyle w:val="Akapitzlist"/>
        <w:numPr>
          <w:ilvl w:val="0"/>
          <w:numId w:val="2"/>
        </w:numPr>
      </w:pPr>
      <w:r>
        <w:t xml:space="preserve">Należy zapewnić </w:t>
      </w:r>
      <w:r w:rsidR="00142CF3">
        <w:t xml:space="preserve"> bezwarunkowego bezpieczeństwa dla osób,</w:t>
      </w:r>
    </w:p>
    <w:p w14:paraId="71573821" w14:textId="176613B0" w:rsidR="00142CF3" w:rsidRPr="00FF0B3A" w:rsidRDefault="0040548A" w:rsidP="00142CF3">
      <w:pPr>
        <w:pStyle w:val="Akapitzlist"/>
        <w:numPr>
          <w:ilvl w:val="0"/>
          <w:numId w:val="2"/>
        </w:numPr>
        <w:rPr>
          <w:color w:val="FF0000"/>
        </w:rPr>
      </w:pPr>
      <w:r w:rsidRPr="00754D47">
        <w:t xml:space="preserve">Chodnik </w:t>
      </w:r>
      <w:r w:rsidR="00142CF3" w:rsidRPr="00754D47">
        <w:t>transportow</w:t>
      </w:r>
      <w:r w:rsidRPr="00754D47">
        <w:t>y (część ruchoma)</w:t>
      </w:r>
      <w:r w:rsidR="00142CF3" w:rsidRPr="00754D47">
        <w:t xml:space="preserve"> </w:t>
      </w:r>
      <w:r w:rsidRPr="00754D47">
        <w:t xml:space="preserve">musi zostać </w:t>
      </w:r>
      <w:r w:rsidR="00142CF3" w:rsidRPr="00754D47">
        <w:t>wykonana z materiału,</w:t>
      </w:r>
      <w:r w:rsidR="00142CF3" w:rsidRPr="00754D47">
        <w:rPr>
          <w:highlight w:val="yellow"/>
        </w:rPr>
        <w:t xml:space="preserve"> </w:t>
      </w:r>
      <w:r w:rsidR="00142CF3" w:rsidRPr="004A7BE0">
        <w:t>trudnopalnego,</w:t>
      </w:r>
      <w:r w:rsidR="00142CF3" w:rsidRPr="00193941">
        <w:t xml:space="preserve"> </w:t>
      </w:r>
      <w:r w:rsidR="00142CF3">
        <w:t xml:space="preserve">antypoślizgowego (w wysokiej klasie </w:t>
      </w:r>
      <w:proofErr w:type="spellStart"/>
      <w:r w:rsidR="00142CF3">
        <w:t>antypośligowości</w:t>
      </w:r>
      <w:proofErr w:type="spellEnd"/>
      <w:r w:rsidR="00142CF3">
        <w:t xml:space="preserve"> min. R10) </w:t>
      </w:r>
    </w:p>
    <w:p w14:paraId="57E4F364" w14:textId="50F5CF81" w:rsidR="009E5CE2" w:rsidRDefault="0040548A" w:rsidP="00AC655F">
      <w:pPr>
        <w:pStyle w:val="Akapitzlist"/>
        <w:numPr>
          <w:ilvl w:val="0"/>
          <w:numId w:val="2"/>
        </w:numPr>
      </w:pPr>
      <w:r>
        <w:t xml:space="preserve">Urządzeni wyposażyć w </w:t>
      </w:r>
      <w:r w:rsidR="00A81FC4">
        <w:t xml:space="preserve">antykolizyjny </w:t>
      </w:r>
      <w:r>
        <w:t xml:space="preserve">w którym </w:t>
      </w:r>
      <w:r w:rsidR="00A81FC4">
        <w:t xml:space="preserve">w </w:t>
      </w:r>
      <w:r>
        <w:t xml:space="preserve">zabudować </w:t>
      </w:r>
      <w:r w:rsidR="00A81FC4">
        <w:t>fotokomórki</w:t>
      </w:r>
      <w:r>
        <w:t xml:space="preserve"> -</w:t>
      </w:r>
      <w:r w:rsidR="00A81FC4">
        <w:t xml:space="preserve"> minimum na wejściu i wyjściu, </w:t>
      </w:r>
    </w:p>
    <w:p w14:paraId="531F729C" w14:textId="0213EA9D" w:rsidR="00AC655F" w:rsidRDefault="0032185E" w:rsidP="00AC655F">
      <w:pPr>
        <w:pStyle w:val="Akapitzlist"/>
        <w:numPr>
          <w:ilvl w:val="0"/>
          <w:numId w:val="2"/>
        </w:numPr>
      </w:pPr>
      <w:r>
        <w:t xml:space="preserve">Chodnik powinien posiadać </w:t>
      </w:r>
      <w:r w:rsidR="0040548A">
        <w:t>z</w:t>
      </w:r>
      <w:r w:rsidR="00AC655F">
        <w:t>abezpieczenie przeciwpożarowe</w:t>
      </w:r>
      <w:r>
        <w:t xml:space="preserve">, zgodne z przepisami w tym </w:t>
      </w:r>
      <w:r w:rsidR="00382C8B">
        <w:t xml:space="preserve"> wyposażenie w </w:t>
      </w:r>
      <w:r w:rsidR="006B7DBF">
        <w:t>czujniki i gaśnice</w:t>
      </w:r>
      <w:r>
        <w:t>,</w:t>
      </w:r>
      <w:r w:rsidR="006B7DBF">
        <w:t xml:space="preserve"> </w:t>
      </w:r>
    </w:p>
    <w:p w14:paraId="787CBFC8" w14:textId="3A20872E" w:rsidR="00AC655F" w:rsidRDefault="0064766F" w:rsidP="00AC655F">
      <w:pPr>
        <w:pStyle w:val="Akapitzlist"/>
        <w:numPr>
          <w:ilvl w:val="0"/>
          <w:numId w:val="2"/>
        </w:numPr>
      </w:pPr>
      <w:r>
        <w:t>System monitorowania zagrożeń</w:t>
      </w:r>
      <w:r w:rsidR="007300DF">
        <w:t xml:space="preserve"> </w:t>
      </w:r>
      <w:r w:rsidR="007300DF" w:rsidRPr="0032185E">
        <w:t xml:space="preserve">z przesyłaniem informacji do </w:t>
      </w:r>
      <w:r w:rsidR="00D22E65" w:rsidRPr="0032185E">
        <w:t xml:space="preserve">wybranego </w:t>
      </w:r>
      <w:r w:rsidR="006865C0" w:rsidRPr="0032185E">
        <w:t xml:space="preserve">punktu </w:t>
      </w:r>
    </w:p>
    <w:p w14:paraId="0E01FF15" w14:textId="1E0062CF" w:rsidR="00AC655F" w:rsidRDefault="0032185E" w:rsidP="007C263D">
      <w:pPr>
        <w:pStyle w:val="Akapitzlist"/>
        <w:numPr>
          <w:ilvl w:val="0"/>
          <w:numId w:val="2"/>
        </w:numPr>
      </w:pPr>
      <w:r>
        <w:t>Ze względu na wąskie gabaryty wyrobiska, m</w:t>
      </w:r>
      <w:r w:rsidR="00AC655F">
        <w:t xml:space="preserve">ożliwość wchodzenia i schodzenia tylko na skrajnych </w:t>
      </w:r>
      <w:r w:rsidR="00F15DDA">
        <w:t>punktach</w:t>
      </w:r>
      <w:r w:rsidR="00AC655F">
        <w:t xml:space="preserve"> </w:t>
      </w:r>
      <w:r w:rsidR="006A08B6">
        <w:t>chodnika</w:t>
      </w:r>
      <w:r>
        <w:t>,</w:t>
      </w:r>
      <w:r w:rsidR="00AC655F">
        <w:t xml:space="preserve"> </w:t>
      </w:r>
    </w:p>
    <w:p w14:paraId="7DA393B4" w14:textId="0FA2771C" w:rsidR="00016C37" w:rsidRDefault="00016C37" w:rsidP="007C263D">
      <w:pPr>
        <w:pStyle w:val="Akapitzlist"/>
        <w:numPr>
          <w:ilvl w:val="0"/>
          <w:numId w:val="2"/>
        </w:numPr>
      </w:pPr>
      <w:r>
        <w:t xml:space="preserve">Urządzenie przenośne, </w:t>
      </w:r>
      <w:r w:rsidR="00E344F9">
        <w:t xml:space="preserve">budowy modułowej, </w:t>
      </w:r>
      <w:r>
        <w:t>nie związane trwale z gruntem, bez-fundamentowe</w:t>
      </w:r>
      <w:r w:rsidR="00017E5B">
        <w:t>, z możliwością dostosowania do nierównego spągu na całej długości posadowienia</w:t>
      </w:r>
      <w:r w:rsidR="00110FE8">
        <w:t>, w miejscu posadowienia napędu oraz stacji zwrotnej istnieje możliwość drobnych prac przy pogłębieniu spągu.</w:t>
      </w:r>
    </w:p>
    <w:p w14:paraId="076660BF" w14:textId="63399F80" w:rsidR="00016C37" w:rsidRDefault="006865C0" w:rsidP="007C263D">
      <w:pPr>
        <w:pStyle w:val="Akapitzlist"/>
        <w:numPr>
          <w:ilvl w:val="0"/>
          <w:numId w:val="2"/>
        </w:numPr>
      </w:pPr>
      <w:r>
        <w:t xml:space="preserve">Montowana będzie w wyrobisku </w:t>
      </w:r>
      <w:r w:rsidR="00BF64B9">
        <w:t xml:space="preserve">podziemnym </w:t>
      </w:r>
      <w:r>
        <w:t>o zmi</w:t>
      </w:r>
      <w:r w:rsidR="00BF64B9">
        <w:t>e</w:t>
      </w:r>
      <w:r>
        <w:t xml:space="preserve">nnej </w:t>
      </w:r>
      <w:r w:rsidR="00BF64B9">
        <w:t>szerokości</w:t>
      </w:r>
      <w:r w:rsidR="00E966D7">
        <w:t xml:space="preserve"> – od 1400 mm do 1700 mm;</w:t>
      </w:r>
    </w:p>
    <w:p w14:paraId="67407DD0" w14:textId="37143817" w:rsidR="003466F2" w:rsidRDefault="00770E53" w:rsidP="007C263D">
      <w:pPr>
        <w:pStyle w:val="Akapitzlist"/>
        <w:numPr>
          <w:ilvl w:val="0"/>
          <w:numId w:val="2"/>
        </w:numPr>
      </w:pPr>
      <w:r>
        <w:t>Należy zabezpieczyć przestrzeń pomiędzy częścią ruchom</w:t>
      </w:r>
      <w:r w:rsidR="00511B94">
        <w:t>ą</w:t>
      </w:r>
      <w:r>
        <w:t xml:space="preserve"> przenośnika a </w:t>
      </w:r>
      <w:r w:rsidR="00511B94">
        <w:t xml:space="preserve">ociosem wyrobiska przed możliwości </w:t>
      </w:r>
      <w:r w:rsidR="004719F3">
        <w:t>niekontrolowanego wejści</w:t>
      </w:r>
      <w:r w:rsidR="00D931F5">
        <w:t>a</w:t>
      </w:r>
      <w:r w:rsidR="004719F3">
        <w:t xml:space="preserve">, </w:t>
      </w:r>
      <w:r w:rsidR="00511B94">
        <w:t xml:space="preserve"> </w:t>
      </w:r>
    </w:p>
    <w:p w14:paraId="3B783D7F" w14:textId="7D32BFA0" w:rsidR="005F013A" w:rsidRDefault="005F013A" w:rsidP="007C263D">
      <w:pPr>
        <w:pStyle w:val="Akapitzlist"/>
        <w:numPr>
          <w:ilvl w:val="0"/>
          <w:numId w:val="2"/>
        </w:numPr>
      </w:pPr>
      <w:r>
        <w:t xml:space="preserve">automatyczny system napinania </w:t>
      </w:r>
      <w:r w:rsidR="0066104F">
        <w:t xml:space="preserve">ruchomego chodnika </w:t>
      </w:r>
      <w:r w:rsidR="00F54DF6">
        <w:t>transportowego</w:t>
      </w:r>
      <w:r>
        <w:t>,</w:t>
      </w:r>
    </w:p>
    <w:p w14:paraId="207E4FDF" w14:textId="6384923B" w:rsidR="00016C37" w:rsidRDefault="007E721D" w:rsidP="00110FE8">
      <w:pPr>
        <w:pStyle w:val="Akapitzlist"/>
        <w:numPr>
          <w:ilvl w:val="0"/>
          <w:numId w:val="2"/>
        </w:numPr>
      </w:pPr>
      <w:r>
        <w:t>Możliwość zatrzymania</w:t>
      </w:r>
      <w:r w:rsidR="00137452">
        <w:t xml:space="preserve"> chodnika</w:t>
      </w:r>
      <w:r w:rsidR="003F40B1">
        <w:t xml:space="preserve"> ruchomego</w:t>
      </w:r>
      <w:r>
        <w:t xml:space="preserve"> na całej</w:t>
      </w:r>
      <w:r w:rsidR="00B6009E">
        <w:t xml:space="preserve"> jego długości</w:t>
      </w:r>
      <w:r w:rsidR="00110FE8">
        <w:t xml:space="preserve">, </w:t>
      </w:r>
    </w:p>
    <w:p w14:paraId="35B961F3" w14:textId="7D589445" w:rsidR="00DC4259" w:rsidRDefault="00A80A73" w:rsidP="004719F3">
      <w:pPr>
        <w:pStyle w:val="Akapitzlist"/>
        <w:numPr>
          <w:ilvl w:val="0"/>
          <w:numId w:val="2"/>
        </w:numPr>
      </w:pPr>
      <w:r>
        <w:t xml:space="preserve">Urządzenie wykonać z materiału </w:t>
      </w:r>
      <w:r w:rsidR="00016C37">
        <w:t>antykorozyjn</w:t>
      </w:r>
      <w:r>
        <w:t>ego</w:t>
      </w:r>
      <w:r w:rsidR="00016C37">
        <w:t>, całość przystosowana do pracy w podziemiach, w warunkach bardzo dużej wilgotności</w:t>
      </w:r>
      <w:r w:rsidR="00582CE0">
        <w:t>;</w:t>
      </w:r>
    </w:p>
    <w:p w14:paraId="042F15CD" w14:textId="075A7EA6" w:rsidR="007E2BD0" w:rsidRPr="00DD4BDB" w:rsidRDefault="00BA177E" w:rsidP="00914053">
      <w:pPr>
        <w:pStyle w:val="Akapitzlist"/>
        <w:numPr>
          <w:ilvl w:val="0"/>
          <w:numId w:val="2"/>
        </w:numPr>
      </w:pPr>
      <w:r>
        <w:t>Wraz z urządzeniem należy dostarczyć Instrukcję Obsługi, DTR oraz instrukcje bezpiecznego użytkowania</w:t>
      </w:r>
      <w:r w:rsidR="00582CE0">
        <w:t>;</w:t>
      </w:r>
    </w:p>
    <w:p w14:paraId="3AAA5143" w14:textId="024E1092" w:rsidR="00DD4BDB" w:rsidRDefault="005C0011" w:rsidP="007C263D">
      <w:pPr>
        <w:pStyle w:val="Akapitzlist"/>
        <w:numPr>
          <w:ilvl w:val="0"/>
          <w:numId w:val="2"/>
        </w:numPr>
      </w:pPr>
      <w:r w:rsidRPr="00022716">
        <w:t xml:space="preserve">Wyposażyć </w:t>
      </w:r>
      <w:r w:rsidR="006A08B6" w:rsidRPr="00022716">
        <w:t>chodnik w co najmniej trzy urządzenia łączności z dyspozytorem kopalni zabudowan</w:t>
      </w:r>
      <w:r w:rsidR="00B103FA">
        <w:t>e</w:t>
      </w:r>
      <w:r w:rsidR="006A08B6" w:rsidRPr="00022716">
        <w:t xml:space="preserve"> na początku i końcu chodnika oraz w środkowej jego części. </w:t>
      </w:r>
    </w:p>
    <w:p w14:paraId="7313749A" w14:textId="77777777" w:rsidR="00FC441F" w:rsidRDefault="00FC441F" w:rsidP="00FC441F">
      <w:pPr>
        <w:pStyle w:val="Akapitzlist"/>
        <w:ind w:left="1440"/>
      </w:pPr>
    </w:p>
    <w:p w14:paraId="143CB96B" w14:textId="62B46C9B" w:rsidR="00FF0B3A" w:rsidRPr="004C47B9" w:rsidRDefault="004719F3" w:rsidP="004502D6">
      <w:pPr>
        <w:pStyle w:val="Akapitzlist"/>
        <w:numPr>
          <w:ilvl w:val="0"/>
          <w:numId w:val="1"/>
        </w:numPr>
        <w:ind w:left="1080"/>
      </w:pPr>
      <w:r w:rsidRPr="004C47B9">
        <w:t xml:space="preserve">W przypadku </w:t>
      </w:r>
      <w:r w:rsidR="00EF61C9" w:rsidRPr="004C47B9">
        <w:t>zastosowania taśmy transportowej powinna ona spełniać następujące wymagania:</w:t>
      </w:r>
      <w:r w:rsidR="00FF0B3A" w:rsidRPr="004C47B9">
        <w:t xml:space="preserve"> </w:t>
      </w:r>
      <w:r w:rsidR="00B52983" w:rsidRPr="004C47B9">
        <w:t xml:space="preserve"> </w:t>
      </w:r>
      <w:r w:rsidR="00EF61C9" w:rsidRPr="004C47B9">
        <w:t xml:space="preserve"> </w:t>
      </w:r>
    </w:p>
    <w:p w14:paraId="4E0282A5" w14:textId="56CC0EEA" w:rsidR="006B2823" w:rsidRPr="004C47B9" w:rsidRDefault="006B2823" w:rsidP="00E31FEC">
      <w:pPr>
        <w:pStyle w:val="Akapitzlist"/>
        <w:numPr>
          <w:ilvl w:val="0"/>
          <w:numId w:val="2"/>
        </w:numPr>
      </w:pPr>
      <w:r w:rsidRPr="004C47B9">
        <w:t>trudnopalności w odniesieniu do warunków i miejsca stosowania</w:t>
      </w:r>
      <w:r w:rsidR="00B92CE1" w:rsidRPr="004C47B9">
        <w:t xml:space="preserve"> </w:t>
      </w:r>
      <w:r w:rsidRPr="004C47B9">
        <w:t xml:space="preserve"> </w:t>
      </w:r>
      <w:r w:rsidR="004C10CD">
        <w:t xml:space="preserve"> tj. zabudowy w górniczych wyrobiskach dołowych,</w:t>
      </w:r>
    </w:p>
    <w:p w14:paraId="64B4E0EE" w14:textId="48557E8B" w:rsidR="006B2823" w:rsidRPr="004C47B9" w:rsidRDefault="006B2823" w:rsidP="00A16B8E">
      <w:pPr>
        <w:pStyle w:val="Akapitzlist"/>
        <w:numPr>
          <w:ilvl w:val="0"/>
          <w:numId w:val="2"/>
        </w:numPr>
      </w:pPr>
      <w:r w:rsidRPr="004C47B9">
        <w:lastRenderedPageBreak/>
        <w:t xml:space="preserve">niskiej zawartości substancji toksycznych w produktach rozkładu termicznego w aspekcie ich analizy jakościowej i ilościowej z uwzględnieniem środków zapewniających bezpieczeństwo </w:t>
      </w:r>
      <w:r w:rsidR="00A16B8E">
        <w:t>osób</w:t>
      </w:r>
      <w:r w:rsidRPr="004C47B9">
        <w:t>,</w:t>
      </w:r>
    </w:p>
    <w:p w14:paraId="0A25EBDF" w14:textId="5FA032D0" w:rsidR="006B2823" w:rsidRPr="004C47B9" w:rsidRDefault="006B2823" w:rsidP="00B92CE1">
      <w:pPr>
        <w:pStyle w:val="Akapitzlist"/>
        <w:numPr>
          <w:ilvl w:val="0"/>
          <w:numId w:val="2"/>
        </w:numPr>
      </w:pPr>
      <w:r w:rsidRPr="004C47B9">
        <w:t>wytrzymałości zapewniającej bezpieczne stosowanie,</w:t>
      </w:r>
    </w:p>
    <w:p w14:paraId="00CE53C6" w14:textId="06BA1830" w:rsidR="006B2823" w:rsidRPr="004C47B9" w:rsidRDefault="006B2823" w:rsidP="00F34FED">
      <w:pPr>
        <w:pStyle w:val="Akapitzlist"/>
        <w:numPr>
          <w:ilvl w:val="0"/>
          <w:numId w:val="2"/>
        </w:numPr>
      </w:pPr>
      <w:r w:rsidRPr="004C47B9">
        <w:t xml:space="preserve">trwałości w warunkach dołowych w aspekcie </w:t>
      </w:r>
      <w:proofErr w:type="spellStart"/>
      <w:r w:rsidRPr="004C47B9">
        <w:t>wymywalności</w:t>
      </w:r>
      <w:proofErr w:type="spellEnd"/>
      <w:r w:rsidRPr="004C47B9">
        <w:t xml:space="preserve"> oraz wrażliwości na działanie wód kopalnianych oraz mikroorganizmów</w:t>
      </w:r>
      <w:r w:rsidR="00F34FED">
        <w:t>.</w:t>
      </w:r>
    </w:p>
    <w:p w14:paraId="759D5F8F" w14:textId="0211B2F1" w:rsidR="00DF0A93" w:rsidRPr="00022716" w:rsidRDefault="006B2823" w:rsidP="005256D3">
      <w:pPr>
        <w:pStyle w:val="Akapitzlist"/>
        <w:numPr>
          <w:ilvl w:val="0"/>
          <w:numId w:val="1"/>
        </w:numPr>
      </w:pPr>
      <w:r w:rsidRPr="00FC441F">
        <w:rPr>
          <w:color w:val="FF0000"/>
        </w:rPr>
        <w:t xml:space="preserve"> </w:t>
      </w:r>
      <w:r w:rsidR="00DF0A93" w:rsidRPr="00022716">
        <w:t>Dodatkowe warunki:</w:t>
      </w:r>
    </w:p>
    <w:p w14:paraId="16A0A312" w14:textId="1E302ABA" w:rsidR="008E4F2A" w:rsidRPr="00022716" w:rsidRDefault="00FE135E" w:rsidP="00022716">
      <w:pPr>
        <w:pStyle w:val="Akapitzlist"/>
        <w:numPr>
          <w:ilvl w:val="1"/>
          <w:numId w:val="1"/>
        </w:numPr>
        <w:ind w:left="993" w:hanging="284"/>
      </w:pPr>
      <w:r w:rsidRPr="00022716">
        <w:t>Bezpieczeństwo wejścia i wyjścia (strefy transferowe)</w:t>
      </w:r>
      <w:r w:rsidR="008E4F2A" w:rsidRPr="00022716">
        <w:tab/>
      </w:r>
    </w:p>
    <w:p w14:paraId="651E565F" w14:textId="41D3899E" w:rsidR="00FE135E" w:rsidRPr="00A578CF" w:rsidRDefault="00F258B8" w:rsidP="00022716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>n</w:t>
      </w:r>
      <w:r w:rsidR="00FE135E" w:rsidRPr="00A578CF">
        <w:rPr>
          <w:rFonts w:eastAsia="Times New Roman" w:cstheme="minorHAnsi"/>
          <w:lang w:eastAsia="pl-PL"/>
        </w:rPr>
        <w:t xml:space="preserve">a końcach </w:t>
      </w:r>
      <w:r w:rsidR="00395168" w:rsidRPr="00A578CF">
        <w:rPr>
          <w:rFonts w:eastAsia="Times New Roman" w:cstheme="minorHAnsi"/>
          <w:lang w:eastAsia="pl-PL"/>
        </w:rPr>
        <w:t xml:space="preserve"> chodnika należy zabudować płyty „grzebieniowe”</w:t>
      </w:r>
      <w:r w:rsidR="00FE135E" w:rsidRPr="00A578CF">
        <w:rPr>
          <w:rFonts w:eastAsia="Times New Roman" w:cstheme="minorHAnsi"/>
          <w:lang w:eastAsia="pl-PL"/>
        </w:rPr>
        <w:t>,</w:t>
      </w:r>
      <w:r w:rsidR="00314BBD" w:rsidRPr="00A578CF">
        <w:rPr>
          <w:rFonts w:eastAsia="Times New Roman" w:cstheme="minorHAnsi"/>
          <w:lang w:eastAsia="pl-PL"/>
        </w:rPr>
        <w:t xml:space="preserve"> zapobiegające </w:t>
      </w:r>
      <w:r w:rsidR="00FE135E" w:rsidRPr="00A578CF">
        <w:rPr>
          <w:rFonts w:eastAsia="Times New Roman" w:cstheme="minorHAnsi"/>
          <w:lang w:eastAsia="pl-PL"/>
        </w:rPr>
        <w:t>wciągnięciu butów</w:t>
      </w:r>
      <w:r w:rsidR="00314BBD" w:rsidRPr="00A578CF">
        <w:rPr>
          <w:rFonts w:eastAsia="Times New Roman" w:cstheme="minorHAnsi"/>
          <w:lang w:eastAsia="pl-PL"/>
        </w:rPr>
        <w:t xml:space="preserve"> lub </w:t>
      </w:r>
      <w:r w:rsidR="00FE135E" w:rsidRPr="00A578CF">
        <w:rPr>
          <w:rFonts w:eastAsia="Times New Roman" w:cstheme="minorHAnsi"/>
          <w:lang w:eastAsia="pl-PL"/>
        </w:rPr>
        <w:t>ubrań pod obudowę</w:t>
      </w:r>
      <w:r w:rsidR="00314BBD" w:rsidRPr="00A578CF">
        <w:rPr>
          <w:rFonts w:eastAsia="Times New Roman" w:cstheme="minorHAnsi"/>
          <w:lang w:eastAsia="pl-PL"/>
        </w:rPr>
        <w:t>,</w:t>
      </w:r>
    </w:p>
    <w:p w14:paraId="57E458D8" w14:textId="6B3077B8" w:rsidR="00FE135E" w:rsidRPr="00A578CF" w:rsidRDefault="002D5B48" w:rsidP="00022716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>p</w:t>
      </w:r>
      <w:r w:rsidR="00FE135E" w:rsidRPr="00A578CF">
        <w:rPr>
          <w:rFonts w:eastAsia="Times New Roman" w:cstheme="minorHAnsi"/>
          <w:lang w:eastAsia="pl-PL"/>
        </w:rPr>
        <w:t xml:space="preserve">łyty na wejściu i wyjściu </w:t>
      </w:r>
      <w:r w:rsidR="00DF2C75" w:rsidRPr="00A578CF">
        <w:rPr>
          <w:rFonts w:eastAsia="Times New Roman" w:cstheme="minorHAnsi"/>
          <w:lang w:eastAsia="pl-PL"/>
        </w:rPr>
        <w:t xml:space="preserve">należy zabudować jako </w:t>
      </w:r>
      <w:r w:rsidR="00FE135E" w:rsidRPr="00A578CF">
        <w:rPr>
          <w:rFonts w:eastAsia="Times New Roman" w:cstheme="minorHAnsi"/>
          <w:lang w:eastAsia="pl-PL"/>
        </w:rPr>
        <w:t>ruchome i wyposaż</w:t>
      </w:r>
      <w:r w:rsidR="00DF2C75" w:rsidRPr="00A578CF">
        <w:rPr>
          <w:rFonts w:eastAsia="Times New Roman" w:cstheme="minorHAnsi"/>
          <w:lang w:eastAsia="pl-PL"/>
        </w:rPr>
        <w:t>yć</w:t>
      </w:r>
      <w:r w:rsidR="00FE135E" w:rsidRPr="00A578CF">
        <w:rPr>
          <w:rFonts w:eastAsia="Times New Roman" w:cstheme="minorHAnsi"/>
          <w:lang w:eastAsia="pl-PL"/>
        </w:rPr>
        <w:t xml:space="preserve"> w wyłączniki bezpieczeństwa</w:t>
      </w:r>
      <w:r w:rsidR="00574958" w:rsidRPr="00A578CF">
        <w:rPr>
          <w:rFonts w:eastAsia="Times New Roman" w:cstheme="minorHAnsi"/>
          <w:lang w:eastAsia="pl-PL"/>
        </w:rPr>
        <w:t xml:space="preserve">, </w:t>
      </w:r>
    </w:p>
    <w:p w14:paraId="26E1F942" w14:textId="27CDA3FD" w:rsidR="00C45E74" w:rsidRPr="00A578CF" w:rsidRDefault="00C10AFA" w:rsidP="00C45E7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 xml:space="preserve">na </w:t>
      </w:r>
      <w:r w:rsidR="00284677" w:rsidRPr="00A578CF">
        <w:rPr>
          <w:rFonts w:eastAsia="Times New Roman" w:cstheme="minorHAnsi"/>
          <w:lang w:eastAsia="pl-PL"/>
        </w:rPr>
        <w:t xml:space="preserve"> </w:t>
      </w:r>
      <w:r w:rsidR="00FE135E" w:rsidRPr="00A578CF">
        <w:rPr>
          <w:rFonts w:eastAsia="Times New Roman" w:cstheme="minorHAnsi"/>
          <w:lang w:eastAsia="pl-PL"/>
        </w:rPr>
        <w:t>początku i końcu taśmy powinien znajdować się krótki odcinek płaski (tzw. strefa wsiadania i zsiadania), aby użytkownik mógł stabilnie przyjąć pozycję</w:t>
      </w:r>
      <w:r w:rsidR="00002E34" w:rsidRPr="00A578CF">
        <w:rPr>
          <w:rFonts w:eastAsia="Times New Roman" w:cstheme="minorHAnsi"/>
          <w:lang w:eastAsia="pl-PL"/>
        </w:rPr>
        <w:t>,</w:t>
      </w:r>
    </w:p>
    <w:p w14:paraId="0BE7D54D" w14:textId="14080B24" w:rsidR="004444B1" w:rsidRDefault="00C45E74" w:rsidP="004444B1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>p</w:t>
      </w:r>
      <w:r w:rsidR="00FE135E" w:rsidRPr="00A578CF">
        <w:rPr>
          <w:rFonts w:eastAsia="Times New Roman" w:cstheme="minorHAnsi"/>
          <w:lang w:eastAsia="pl-PL"/>
        </w:rPr>
        <w:t xml:space="preserve">rześwit </w:t>
      </w:r>
      <w:r w:rsidR="00DD1A3C" w:rsidRPr="00A578CF">
        <w:rPr>
          <w:rFonts w:eastAsia="Times New Roman" w:cstheme="minorHAnsi"/>
          <w:lang w:eastAsia="pl-PL"/>
        </w:rPr>
        <w:t xml:space="preserve">(&lt; 4 mm ) </w:t>
      </w:r>
      <w:r w:rsidR="00FE135E" w:rsidRPr="00A578CF">
        <w:rPr>
          <w:rFonts w:eastAsia="Times New Roman" w:cstheme="minorHAnsi"/>
          <w:lang w:eastAsia="pl-PL"/>
        </w:rPr>
        <w:t xml:space="preserve">między krawędzią poruszającej się taśmy a nieruchomą obudową boczną </w:t>
      </w:r>
      <w:r w:rsidR="00F92778" w:rsidRPr="00A578CF">
        <w:rPr>
          <w:rFonts w:eastAsia="Times New Roman" w:cstheme="minorHAnsi"/>
          <w:lang w:eastAsia="pl-PL"/>
        </w:rPr>
        <w:t xml:space="preserve">powinien </w:t>
      </w:r>
      <w:r w:rsidR="00007695" w:rsidRPr="00A578CF">
        <w:rPr>
          <w:rFonts w:eastAsia="Times New Roman" w:cstheme="minorHAnsi"/>
          <w:lang w:eastAsia="pl-PL"/>
        </w:rPr>
        <w:t>zapewnić maksymalne bezpieczeństwo</w:t>
      </w:r>
      <w:r w:rsidR="000B0B2F" w:rsidRPr="00A578CF">
        <w:rPr>
          <w:rFonts w:eastAsia="Times New Roman" w:cstheme="minorHAnsi"/>
          <w:lang w:eastAsia="pl-PL"/>
        </w:rPr>
        <w:t xml:space="preserve">, </w:t>
      </w:r>
    </w:p>
    <w:p w14:paraId="6A093D55" w14:textId="1504545C" w:rsidR="00177582" w:rsidRPr="00A578CF" w:rsidRDefault="00645D96" w:rsidP="004444B1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zabezpieczyć i wypełnić </w:t>
      </w:r>
      <w:r w:rsidR="00177582">
        <w:rPr>
          <w:rFonts w:eastAsia="Times New Roman" w:cstheme="minorHAnsi"/>
          <w:lang w:eastAsia="pl-PL"/>
        </w:rPr>
        <w:t xml:space="preserve"> przestrzeń pomiędzy </w:t>
      </w:r>
      <w:r w:rsidR="002F4590">
        <w:rPr>
          <w:rFonts w:eastAsia="Times New Roman" w:cstheme="minorHAnsi"/>
          <w:lang w:eastAsia="pl-PL"/>
        </w:rPr>
        <w:t xml:space="preserve">skrajem </w:t>
      </w:r>
      <w:r w:rsidR="00177582">
        <w:rPr>
          <w:rFonts w:eastAsia="Times New Roman" w:cstheme="minorHAnsi"/>
          <w:lang w:eastAsia="pl-PL"/>
        </w:rPr>
        <w:t>taśm</w:t>
      </w:r>
      <w:r w:rsidR="002F4590">
        <w:rPr>
          <w:rFonts w:eastAsia="Times New Roman" w:cstheme="minorHAnsi"/>
          <w:lang w:eastAsia="pl-PL"/>
        </w:rPr>
        <w:t>y</w:t>
      </w:r>
      <w:r w:rsidR="00177582">
        <w:rPr>
          <w:rFonts w:eastAsia="Times New Roman" w:cstheme="minorHAnsi"/>
          <w:lang w:eastAsia="pl-PL"/>
        </w:rPr>
        <w:t xml:space="preserve"> transportowa a obudową wyrobiska, </w:t>
      </w:r>
    </w:p>
    <w:p w14:paraId="550C864E" w14:textId="77777777" w:rsidR="00DE4DCC" w:rsidRPr="00A578CF" w:rsidRDefault="004444B1" w:rsidP="00DE4DC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>Układ sterowania powinien zapewnić łagodny i płynny start chodnika</w:t>
      </w:r>
      <w:r w:rsidR="00FE135E" w:rsidRPr="00A578CF">
        <w:rPr>
          <w:rFonts w:eastAsia="Times New Roman" w:cstheme="minorHAnsi"/>
          <w:lang w:eastAsia="pl-PL"/>
        </w:rPr>
        <w:t xml:space="preserve">, </w:t>
      </w:r>
      <w:r w:rsidRPr="00A578CF">
        <w:rPr>
          <w:rFonts w:eastAsia="Times New Roman" w:cstheme="minorHAnsi"/>
          <w:lang w:eastAsia="pl-PL"/>
        </w:rPr>
        <w:t xml:space="preserve"> </w:t>
      </w:r>
    </w:p>
    <w:p w14:paraId="29CAA2A6" w14:textId="77777777" w:rsidR="00EB6783" w:rsidRPr="00A578CF" w:rsidRDefault="00FE135E" w:rsidP="00EB678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>Strefy wejścia i wyjścia muszą być odpowiednio doświetlone (min. 50 luksów</w:t>
      </w:r>
      <w:r w:rsidR="00DE4DCC" w:rsidRPr="00A578CF">
        <w:rPr>
          <w:rFonts w:eastAsia="Times New Roman" w:cstheme="minorHAnsi"/>
          <w:lang w:eastAsia="pl-PL"/>
        </w:rPr>
        <w:t>)</w:t>
      </w:r>
    </w:p>
    <w:p w14:paraId="5845F8E8" w14:textId="7C764A40" w:rsidR="00831AC9" w:rsidRPr="00FD67D5" w:rsidRDefault="00831AC9" w:rsidP="00FD67D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>Zaawansowane systemy sterowania</w:t>
      </w:r>
      <w:r w:rsidR="00FD67D5">
        <w:rPr>
          <w:rFonts w:eastAsia="Times New Roman" w:cstheme="minorHAnsi"/>
          <w:lang w:eastAsia="pl-PL"/>
        </w:rPr>
        <w:t>:</w:t>
      </w:r>
      <w:r w:rsidRPr="00FD67D5">
        <w:rPr>
          <w:rFonts w:eastAsia="Times New Roman" w:cstheme="minorHAnsi"/>
          <w:lang w:eastAsia="pl-PL"/>
        </w:rPr>
        <w:t xml:space="preserve"> układy bezpieczeństwa </w:t>
      </w:r>
      <w:r w:rsidR="00EB6783" w:rsidRPr="00FD67D5">
        <w:rPr>
          <w:rFonts w:eastAsia="Times New Roman" w:cstheme="minorHAnsi"/>
          <w:lang w:eastAsia="pl-PL"/>
        </w:rPr>
        <w:t xml:space="preserve"> musza</w:t>
      </w:r>
      <w:r w:rsidR="002B5780" w:rsidRPr="00FD67D5">
        <w:rPr>
          <w:rFonts w:eastAsia="Times New Roman" w:cstheme="minorHAnsi"/>
          <w:lang w:eastAsia="pl-PL"/>
        </w:rPr>
        <w:t xml:space="preserve"> być zgodne z norma </w:t>
      </w:r>
      <w:r w:rsidRPr="00FD67D5">
        <w:rPr>
          <w:rFonts w:eastAsia="Times New Roman" w:cstheme="minorHAnsi"/>
          <w:lang w:eastAsia="pl-PL"/>
        </w:rPr>
        <w:t xml:space="preserve"> EN ISO 13849-1</w:t>
      </w:r>
      <w:r w:rsidR="002B5780" w:rsidRPr="00FD67D5">
        <w:rPr>
          <w:rFonts w:eastAsia="Times New Roman" w:cstheme="minorHAnsi"/>
          <w:lang w:eastAsia="pl-PL"/>
        </w:rPr>
        <w:t>,</w:t>
      </w:r>
      <w:r w:rsidR="00DD3D3A" w:rsidRPr="00FD67D5">
        <w:rPr>
          <w:rFonts w:eastAsia="Times New Roman" w:cstheme="minorHAnsi"/>
          <w:lang w:eastAsia="pl-PL"/>
        </w:rPr>
        <w:t xml:space="preserve"> w tym  tzw. zabezpieczenie przed spiętrzeniem</w:t>
      </w:r>
      <w:r w:rsidR="0069556D" w:rsidRPr="00FD67D5">
        <w:rPr>
          <w:rFonts w:eastAsia="Times New Roman" w:cstheme="minorHAnsi"/>
          <w:lang w:eastAsia="pl-PL"/>
        </w:rPr>
        <w:t>,</w:t>
      </w:r>
    </w:p>
    <w:p w14:paraId="4FB86EA4" w14:textId="758F40A4" w:rsidR="0069556D" w:rsidRPr="00A578CF" w:rsidRDefault="0069556D" w:rsidP="00DD3D3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A578CF">
        <w:rPr>
          <w:rFonts w:eastAsia="Times New Roman" w:cstheme="minorHAnsi"/>
          <w:lang w:eastAsia="pl-PL"/>
        </w:rPr>
        <w:t xml:space="preserve">Wykonanie i zabudowa chodnika powinna być zgodna z </w:t>
      </w:r>
      <w:r w:rsidRPr="00A578CF">
        <w:rPr>
          <w:rFonts w:cstheme="minorHAnsi"/>
        </w:rPr>
        <w:t xml:space="preserve">normą zharmonizowaną </w:t>
      </w:r>
      <w:r w:rsidRPr="00A578CF">
        <w:rPr>
          <w:rStyle w:val="Pogrubienie"/>
          <w:rFonts w:cstheme="minorHAnsi"/>
          <w:b w:val="0"/>
          <w:bCs w:val="0"/>
        </w:rPr>
        <w:t>PN-EN 15700:2024-01</w:t>
      </w:r>
      <w:r w:rsidRPr="00A578CF">
        <w:rPr>
          <w:rStyle w:val="Pogrubienie"/>
          <w:rFonts w:cstheme="minorHAnsi"/>
        </w:rPr>
        <w:t xml:space="preserve"> </w:t>
      </w:r>
    </w:p>
    <w:p w14:paraId="647B5730" w14:textId="77777777" w:rsidR="00F41A3C" w:rsidRDefault="00F41A3C" w:rsidP="00F41A3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A35C63" w14:textId="13F621CC" w:rsidR="00FE135E" w:rsidRPr="00DE4DCC" w:rsidRDefault="00DE4DCC" w:rsidP="00F41A3C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91C1F67" w14:textId="4EB5D09F" w:rsidR="00FE135E" w:rsidRPr="006713F7" w:rsidRDefault="005912A9" w:rsidP="005256D3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/>
          <w:bCs/>
          <w:lang w:eastAsia="pl-PL"/>
        </w:rPr>
      </w:pPr>
      <w:r>
        <w:t xml:space="preserve">Wymagane </w:t>
      </w:r>
      <w:r w:rsidR="00BE4475">
        <w:t>d</w:t>
      </w:r>
      <w:r w:rsidR="00FE135E" w:rsidRPr="005912A9">
        <w:t>okumentacj</w:t>
      </w:r>
      <w:r w:rsidR="00BE4475">
        <w:t>e</w:t>
      </w:r>
      <w:r w:rsidR="00EE4995">
        <w:t xml:space="preserve"> (dostarczyć w języku polskim)</w:t>
      </w:r>
      <w:r w:rsidR="00BE4475">
        <w:t>:</w:t>
      </w:r>
    </w:p>
    <w:p w14:paraId="1D6A1C76" w14:textId="05217FFD" w:rsidR="0064013D" w:rsidRPr="00764692" w:rsidRDefault="0020509D" w:rsidP="005021B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>
        <w:t>S</w:t>
      </w:r>
      <w:r w:rsidR="00ED3B22">
        <w:t>posób</w:t>
      </w:r>
      <w:r>
        <w:t xml:space="preserve"> </w:t>
      </w:r>
      <w:r w:rsidR="0064013D" w:rsidRPr="00764692">
        <w:t>zabudowy uwzględniając</w:t>
      </w:r>
      <w:r w:rsidR="00D7012E">
        <w:t>y</w:t>
      </w:r>
      <w:r w:rsidR="0064013D" w:rsidRPr="00764692">
        <w:t xml:space="preserve"> wymagania bezpieczeństwa oraz adaptację urządzenia do warunków w wyrobisku, zagrożeń itp., </w:t>
      </w:r>
      <w:r w:rsidR="001C1C7D" w:rsidRPr="00764692">
        <w:t xml:space="preserve"> </w:t>
      </w:r>
    </w:p>
    <w:p w14:paraId="36ED794D" w14:textId="6A0D5B07" w:rsidR="00FE135E" w:rsidRPr="005021B5" w:rsidRDefault="00FE135E" w:rsidP="005021B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5021B5">
        <w:rPr>
          <w:rFonts w:eastAsia="Times New Roman" w:cstheme="minorHAnsi"/>
          <w:lang w:eastAsia="pl-PL"/>
        </w:rPr>
        <w:t>Instrukcja ewakuacji: Procedura postępowania w razie awarii lub utknięcia pasażera</w:t>
      </w:r>
      <w:r w:rsidR="005021B5">
        <w:rPr>
          <w:rFonts w:eastAsia="Times New Roman" w:cstheme="minorHAnsi"/>
          <w:lang w:eastAsia="pl-PL"/>
        </w:rPr>
        <w:t>,</w:t>
      </w:r>
    </w:p>
    <w:p w14:paraId="4F53525E" w14:textId="1E4E1718" w:rsidR="00FE135E" w:rsidRPr="005021B5" w:rsidRDefault="00FE135E" w:rsidP="005021B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5021B5">
        <w:rPr>
          <w:rFonts w:eastAsia="Times New Roman" w:cstheme="minorHAnsi"/>
          <w:lang w:eastAsia="pl-PL"/>
        </w:rPr>
        <w:t>Plan konserwacji: Harmonogram smarowania, naciągania taśmy i kontroli hamulców</w:t>
      </w:r>
      <w:r w:rsidR="00CC31D5">
        <w:rPr>
          <w:rFonts w:eastAsia="Times New Roman" w:cstheme="minorHAnsi"/>
          <w:lang w:eastAsia="pl-PL"/>
        </w:rPr>
        <w:t>,</w:t>
      </w:r>
    </w:p>
    <w:p w14:paraId="4A8BC05B" w14:textId="70EC02D3" w:rsidR="00FE135E" w:rsidRDefault="00FE135E" w:rsidP="005021B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 w:rsidRPr="005021B5">
        <w:rPr>
          <w:rFonts w:eastAsia="Times New Roman" w:cstheme="minorHAnsi"/>
          <w:lang w:eastAsia="pl-PL"/>
        </w:rPr>
        <w:t>Deklaracja zgodności</w:t>
      </w:r>
      <w:r w:rsidR="00CC31D5">
        <w:rPr>
          <w:rFonts w:eastAsia="Times New Roman" w:cstheme="minorHAnsi"/>
          <w:lang w:eastAsia="pl-PL"/>
        </w:rPr>
        <w:t>,</w:t>
      </w:r>
    </w:p>
    <w:p w14:paraId="1ED8663D" w14:textId="70C50E14" w:rsidR="00FC536C" w:rsidRDefault="00FC536C" w:rsidP="005021B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Dokumentacja powykonawcza </w:t>
      </w:r>
    </w:p>
    <w:p w14:paraId="47D66E57" w14:textId="61E806AE" w:rsidR="00FC536C" w:rsidRPr="005021B5" w:rsidRDefault="00FC536C" w:rsidP="005021B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5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Instrukcja obsługi</w:t>
      </w:r>
    </w:p>
    <w:p w14:paraId="0FAA873D" w14:textId="5C1D7463" w:rsidR="00630231" w:rsidRPr="00DF0A93" w:rsidRDefault="00CC31D5" w:rsidP="00DF0A93">
      <w:pPr>
        <w:rPr>
          <w:color w:val="FF0000"/>
        </w:rPr>
      </w:pPr>
      <w:r>
        <w:rPr>
          <w:rFonts w:eastAsia="Times New Roman" w:cstheme="minorHAnsi"/>
          <w:lang w:eastAsia="pl-PL"/>
        </w:rPr>
        <w:t xml:space="preserve"> </w:t>
      </w:r>
    </w:p>
    <w:p w14:paraId="3CD05EE8" w14:textId="610AAECC" w:rsidR="00AE5D54" w:rsidRPr="00FC536C" w:rsidRDefault="00AE5D54" w:rsidP="00AE5D54">
      <w:pPr>
        <w:pStyle w:val="Akapitzlist"/>
        <w:numPr>
          <w:ilvl w:val="0"/>
          <w:numId w:val="1"/>
        </w:numPr>
      </w:pPr>
      <w:r w:rsidRPr="00FC536C">
        <w:t>Wymogi formalne</w:t>
      </w:r>
    </w:p>
    <w:p w14:paraId="3B860FA6" w14:textId="5C6418B4" w:rsidR="00630231" w:rsidRDefault="009E4B95" w:rsidP="009E4B95">
      <w:pPr>
        <w:contextualSpacing/>
        <w:jc w:val="both"/>
      </w:pPr>
      <w:r>
        <w:t>Chodnik ruchomy</w:t>
      </w:r>
      <w:r w:rsidR="00742B5E" w:rsidRPr="00FA70D1">
        <w:t xml:space="preserve"> powin</w:t>
      </w:r>
      <w:r>
        <w:t>ien</w:t>
      </w:r>
      <w:r w:rsidR="00742B5E" w:rsidRPr="00FA70D1">
        <w:t xml:space="preserve"> spełniać odpowiednio wymagania przepisów ustawy Prawo Geologiczne i Górnicze w zakresie określonym przez rzeczoznawcę ds. ruchu zakładów </w:t>
      </w:r>
      <w:r w:rsidR="00231C22">
        <w:t>górniczych</w:t>
      </w:r>
      <w:r w:rsidR="005841EE">
        <w:t xml:space="preserve">- grupa X </w:t>
      </w:r>
      <w:r w:rsidR="00742B5E" w:rsidRPr="00FA70D1">
        <w:t>dla urządzeń transportowych konstrukcji specjalne</w:t>
      </w:r>
      <w:r w:rsidR="00A3657C">
        <w:t>, w czasie prac przygotowawczych należy je konsultować z rzeczoznawcą</w:t>
      </w:r>
      <w:r w:rsidR="00742B5E" w:rsidRPr="00FA70D1">
        <w:t xml:space="preserve">. </w:t>
      </w:r>
      <w:r w:rsidR="00630231">
        <w:t xml:space="preserve">Obowiązkiem Wykonawcy będzie pełna certyfikacja pozwalająca Kierownikowi Ruchu Zakładu na wydaniu pozwolenia włączenie tego urządzenia do ruchu turystycznego. </w:t>
      </w:r>
    </w:p>
    <w:p w14:paraId="3918C7A8" w14:textId="77777777" w:rsidR="005256D3" w:rsidRDefault="005256D3" w:rsidP="009E4B95">
      <w:pPr>
        <w:contextualSpacing/>
        <w:jc w:val="both"/>
      </w:pPr>
    </w:p>
    <w:p w14:paraId="06ABAD14" w14:textId="77777777" w:rsidR="00742B5E" w:rsidRDefault="00630231" w:rsidP="00742B5E">
      <w:pPr>
        <w:contextualSpacing/>
      </w:pPr>
      <w:r>
        <w:t xml:space="preserve"> </w:t>
      </w:r>
      <w:r w:rsidR="00742B5E" w:rsidRPr="00FA70D1">
        <w:t>W związku z powyższym konieczne jest:</w:t>
      </w:r>
    </w:p>
    <w:p w14:paraId="031B8FCB" w14:textId="77777777" w:rsidR="00742B5E" w:rsidRPr="00FA70D1" w:rsidRDefault="00742B5E" w:rsidP="00742B5E">
      <w:pPr>
        <w:contextualSpacing/>
      </w:pPr>
    </w:p>
    <w:p w14:paraId="7C222AD5" w14:textId="29AAEC73" w:rsidR="00366666" w:rsidRPr="00977BE3" w:rsidRDefault="00742B5E" w:rsidP="00977BE3">
      <w:pPr>
        <w:numPr>
          <w:ilvl w:val="0"/>
          <w:numId w:val="3"/>
        </w:numPr>
        <w:contextualSpacing/>
      </w:pPr>
      <w:r w:rsidRPr="00262E6E">
        <w:t>Opracowanie projektu zabudowy uwzględniającego wymagania bezpieczeństwa oraz adaptację urządzenia do warunków w wyrobisku, zagrożeń itp., (być może konieczna będzie modyfikacja lub doposażenie urządzenia albo uzyskanie odstępstwa od wymogów przepisów – będzie to uzależnione od opinii rzeczoznawcy);</w:t>
      </w:r>
    </w:p>
    <w:p w14:paraId="5A609069" w14:textId="77777777" w:rsidR="0020509D" w:rsidRDefault="00742B5E" w:rsidP="00742B5E">
      <w:pPr>
        <w:numPr>
          <w:ilvl w:val="0"/>
          <w:numId w:val="3"/>
        </w:numPr>
        <w:contextualSpacing/>
      </w:pPr>
      <w:r>
        <w:t xml:space="preserve">Dostarczenie </w:t>
      </w:r>
      <w:r w:rsidRPr="00262E6E">
        <w:t xml:space="preserve">dokumentacji techniczno-ruchowej </w:t>
      </w:r>
      <w:r>
        <w:t>lub</w:t>
      </w:r>
      <w:r w:rsidRPr="00262E6E">
        <w:t xml:space="preserve"> instrukcji obsługi obejmujących warunki kontroli urządzeni</w:t>
      </w:r>
      <w:r w:rsidR="0020509D">
        <w:t>a</w:t>
      </w:r>
    </w:p>
    <w:p w14:paraId="35A2F549" w14:textId="7687FF78" w:rsidR="00742B5E" w:rsidRPr="0098262C" w:rsidRDefault="00742B5E" w:rsidP="00742B5E">
      <w:pPr>
        <w:numPr>
          <w:ilvl w:val="0"/>
          <w:numId w:val="3"/>
        </w:numPr>
        <w:contextualSpacing/>
      </w:pPr>
      <w:r w:rsidRPr="00262E6E">
        <w:t>Dokumentacja</w:t>
      </w:r>
      <w:r>
        <w:t xml:space="preserve"> urządzenia, </w:t>
      </w:r>
      <w:r w:rsidRPr="00262E6E">
        <w:t xml:space="preserve"> transportu i projekt</w:t>
      </w:r>
      <w:r>
        <w:t xml:space="preserve"> zabudowy</w:t>
      </w:r>
      <w:r w:rsidRPr="00262E6E">
        <w:t xml:space="preserve"> muszą uzyskać pozytywną opinię rzeczoznawcy ds. ruchu zakładów górniczych grupa X – urządzenia techniczne (urządzenia transportowe specjalne)</w:t>
      </w:r>
      <w:r>
        <w:t>.</w:t>
      </w:r>
      <w:r w:rsidRPr="00262E6E">
        <w:t xml:space="preserve"> </w:t>
      </w:r>
    </w:p>
    <w:p w14:paraId="47A8C464" w14:textId="77777777" w:rsidR="00742B5E" w:rsidRPr="00262E6E" w:rsidRDefault="00742B5E" w:rsidP="00742B5E">
      <w:pPr>
        <w:contextualSpacing/>
      </w:pPr>
    </w:p>
    <w:p w14:paraId="3083061F" w14:textId="5E2C257D" w:rsidR="00742B5E" w:rsidRDefault="00742B5E" w:rsidP="00742B5E">
      <w:pPr>
        <w:contextualSpacing/>
      </w:pPr>
      <w:r>
        <w:t xml:space="preserve">Ze względu na gabaryt </w:t>
      </w:r>
      <w:r w:rsidR="00C763C8">
        <w:t xml:space="preserve">chodnik ruchomego </w:t>
      </w:r>
      <w:r>
        <w:t xml:space="preserve"> i możliwe trudności w transporcie na miejsce docelowe – podziemia Sztolni Królowa Luiza w Zabrzu (stromy upad, tama o szerokości ok. 90 cm), montaż powinien odbyć się na miejscu, z możliwie jak najmniejszych elementów.</w:t>
      </w:r>
    </w:p>
    <w:p w14:paraId="2D8EAC47" w14:textId="77777777" w:rsidR="00742B5E" w:rsidRPr="00D07709" w:rsidRDefault="00742B5E" w:rsidP="00742B5E">
      <w:pPr>
        <w:jc w:val="both"/>
      </w:pPr>
      <w:r w:rsidRPr="00D07709">
        <w:t xml:space="preserve">Projekt wykonawczy - w tym poszczególne jego elementy wymagają pisemnej akceptacji Zamawiającego. Po uzyskaniu akceptacji Zamawiającego, Wykonawca może rozpocząć fizyczną realizację przedmiotu zamówienia. </w:t>
      </w:r>
    </w:p>
    <w:p w14:paraId="5C061B7D" w14:textId="47B737F1" w:rsidR="00742B5E" w:rsidRPr="00D07709" w:rsidRDefault="00EF376E" w:rsidP="00742B5E">
      <w:pPr>
        <w:jc w:val="both"/>
      </w:pPr>
      <w:r>
        <w:t>Chodnik ruchomy</w:t>
      </w:r>
      <w:r w:rsidR="00742B5E" w:rsidRPr="00D07709">
        <w:t xml:space="preserve"> powin</w:t>
      </w:r>
      <w:r>
        <w:t>ien</w:t>
      </w:r>
      <w:r w:rsidR="00742B5E" w:rsidRPr="00D07709">
        <w:t xml:space="preserve"> cechować się łatwością obsługi</w:t>
      </w:r>
      <w:r>
        <w:t xml:space="preserve">, </w:t>
      </w:r>
      <w:r w:rsidR="00742B5E" w:rsidRPr="00D07709">
        <w:t xml:space="preserve"> wysokim standardem, niezawodnością zastosowanych rozwiązań oraz wysoką jakością komponentów, zapewniających </w:t>
      </w:r>
      <w:r w:rsidR="00742B5E">
        <w:t>jego</w:t>
      </w:r>
      <w:r w:rsidR="00742B5E" w:rsidRPr="00D07709">
        <w:t xml:space="preserve"> trwałość. </w:t>
      </w:r>
    </w:p>
    <w:p w14:paraId="132A9583" w14:textId="2606D67F" w:rsidR="00885919" w:rsidRPr="002E7640" w:rsidRDefault="00630231" w:rsidP="002E7640">
      <w:pPr>
        <w:pStyle w:val="Akapitzlist"/>
        <w:ind w:left="1776"/>
      </w:pPr>
      <w:r>
        <w:t xml:space="preserve"> </w:t>
      </w:r>
    </w:p>
    <w:sectPr w:rsidR="00885919" w:rsidRPr="002E76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EA91" w14:textId="77777777" w:rsidR="00C91F3E" w:rsidRDefault="00C91F3E" w:rsidP="00465AB2">
      <w:pPr>
        <w:spacing w:after="0" w:line="240" w:lineRule="auto"/>
      </w:pPr>
      <w:r>
        <w:separator/>
      </w:r>
    </w:p>
  </w:endnote>
  <w:endnote w:type="continuationSeparator" w:id="0">
    <w:p w14:paraId="03D2AF14" w14:textId="77777777" w:rsidR="00C91F3E" w:rsidRDefault="00C91F3E" w:rsidP="0046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1231" w14:textId="77777777" w:rsidR="006070CC" w:rsidRPr="006070CC" w:rsidRDefault="006070CC" w:rsidP="006070CC">
    <w:pPr>
      <w:pStyle w:val="Stopka"/>
      <w:jc w:val="both"/>
      <w:rPr>
        <w:rFonts w:ascii="Arial" w:hAnsi="Arial" w:cs="Arial"/>
        <w:sz w:val="18"/>
        <w:szCs w:val="18"/>
      </w:rPr>
    </w:pPr>
    <w:r w:rsidRPr="006070CC">
      <w:rPr>
        <w:rFonts w:ascii="Arial" w:hAnsi="Arial" w:cs="Arial"/>
        <w:sz w:val="18"/>
        <w:szCs w:val="18"/>
      </w:rPr>
      <w:t>Projekt pn. „Ochrona i podniesienie atrakcyjności turystycznej podziemnych wyrobisk Muzeum Górnictwa Węglowego w Zabrzu” współfinansowany przez Unię Europejską w ramach Programu Fundusze Europejskie na Infrastrukturę, Klimat, Środowisko 2021-2027 - działanie 7.1 Infrastruktura kultury i turystyki kulturowej</w:t>
    </w:r>
  </w:p>
  <w:p w14:paraId="78A71BFC" w14:textId="77777777" w:rsidR="006070CC" w:rsidRDefault="00607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2E8CA" w14:textId="77777777" w:rsidR="00C91F3E" w:rsidRDefault="00C91F3E" w:rsidP="00465AB2">
      <w:pPr>
        <w:spacing w:after="0" w:line="240" w:lineRule="auto"/>
      </w:pPr>
      <w:r>
        <w:separator/>
      </w:r>
    </w:p>
  </w:footnote>
  <w:footnote w:type="continuationSeparator" w:id="0">
    <w:p w14:paraId="2EE51B5A" w14:textId="77777777" w:rsidR="00C91F3E" w:rsidRDefault="00C91F3E" w:rsidP="0046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6219" w14:textId="676ACB88" w:rsidR="00CD59A5" w:rsidRDefault="00CD59A5">
    <w:pPr>
      <w:pStyle w:val="Nagwek"/>
    </w:pPr>
    <w:r>
      <w:rPr>
        <w:noProof/>
      </w:rPr>
      <w:drawing>
        <wp:inline distT="0" distB="0" distL="0" distR="0" wp14:anchorId="070F1BBE" wp14:editId="69A7FABF">
          <wp:extent cx="5753100" cy="510540"/>
          <wp:effectExtent l="0" t="0" r="0" b="3810"/>
          <wp:docPr id="87" name="Obraz 87" descr="Zestawienie przedstawia 4 logotypy pierwszy z lewej: Fundusze Europejskie na Infrastrukturę, Klimat, Środowisk, kolejne logotyp: Rzeczypospolita Polska, następny Dofinansowanie przez Unię Europejską, ostatni: Ministerstwo Kultury i Dziedzictwa Naro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88"/>
    <w:multiLevelType w:val="multilevel"/>
    <w:tmpl w:val="A6F2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6487B"/>
    <w:multiLevelType w:val="hybridMultilevel"/>
    <w:tmpl w:val="C41E5B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B38E9"/>
    <w:multiLevelType w:val="multilevel"/>
    <w:tmpl w:val="E3E6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90174"/>
    <w:multiLevelType w:val="hybridMultilevel"/>
    <w:tmpl w:val="E28E1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2E15"/>
    <w:multiLevelType w:val="multilevel"/>
    <w:tmpl w:val="440E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443CB"/>
    <w:multiLevelType w:val="hybridMultilevel"/>
    <w:tmpl w:val="E7427852"/>
    <w:lvl w:ilvl="0" w:tplc="7166B7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E6CD4"/>
    <w:multiLevelType w:val="hybridMultilevel"/>
    <w:tmpl w:val="0C380216"/>
    <w:lvl w:ilvl="0" w:tplc="48265B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DB0FB88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A2705"/>
    <w:multiLevelType w:val="multilevel"/>
    <w:tmpl w:val="6C68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6209D"/>
    <w:multiLevelType w:val="multilevel"/>
    <w:tmpl w:val="DE8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50097"/>
    <w:multiLevelType w:val="multilevel"/>
    <w:tmpl w:val="BB74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8B4A5E"/>
    <w:multiLevelType w:val="multilevel"/>
    <w:tmpl w:val="58CA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4A6326"/>
    <w:multiLevelType w:val="hybridMultilevel"/>
    <w:tmpl w:val="D9726F0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0045192"/>
    <w:multiLevelType w:val="multilevel"/>
    <w:tmpl w:val="0A3C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982"/>
    <w:multiLevelType w:val="multilevel"/>
    <w:tmpl w:val="3336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90123"/>
    <w:multiLevelType w:val="multilevel"/>
    <w:tmpl w:val="7F2E6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1878F6"/>
    <w:multiLevelType w:val="hybridMultilevel"/>
    <w:tmpl w:val="87AE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2E2A50"/>
    <w:multiLevelType w:val="multilevel"/>
    <w:tmpl w:val="D0D4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283414"/>
    <w:multiLevelType w:val="hybridMultilevel"/>
    <w:tmpl w:val="20CCA882"/>
    <w:lvl w:ilvl="0" w:tplc="F61EA504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11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13"/>
  </w:num>
  <w:num w:numId="10">
    <w:abstractNumId w:val="8"/>
  </w:num>
  <w:num w:numId="11">
    <w:abstractNumId w:val="12"/>
  </w:num>
  <w:num w:numId="12">
    <w:abstractNumId w:val="10"/>
  </w:num>
  <w:num w:numId="13">
    <w:abstractNumId w:val="7"/>
  </w:num>
  <w:num w:numId="14">
    <w:abstractNumId w:val="4"/>
  </w:num>
  <w:num w:numId="15">
    <w:abstractNumId w:val="14"/>
  </w:num>
  <w:num w:numId="16">
    <w:abstractNumId w:val="9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3D"/>
    <w:rsid w:val="000005B6"/>
    <w:rsid w:val="00002E34"/>
    <w:rsid w:val="00007695"/>
    <w:rsid w:val="00016C37"/>
    <w:rsid w:val="00017E5B"/>
    <w:rsid w:val="00022716"/>
    <w:rsid w:val="00053A4D"/>
    <w:rsid w:val="000B0B2F"/>
    <w:rsid w:val="000D476E"/>
    <w:rsid w:val="001002D5"/>
    <w:rsid w:val="00107772"/>
    <w:rsid w:val="00110FE8"/>
    <w:rsid w:val="00137452"/>
    <w:rsid w:val="00142CF3"/>
    <w:rsid w:val="001430C4"/>
    <w:rsid w:val="001443C2"/>
    <w:rsid w:val="00177582"/>
    <w:rsid w:val="00193941"/>
    <w:rsid w:val="001C1C7D"/>
    <w:rsid w:val="001D56C5"/>
    <w:rsid w:val="001E186B"/>
    <w:rsid w:val="001E23EA"/>
    <w:rsid w:val="001F5131"/>
    <w:rsid w:val="0020509D"/>
    <w:rsid w:val="00214517"/>
    <w:rsid w:val="00231C22"/>
    <w:rsid w:val="00284677"/>
    <w:rsid w:val="00286591"/>
    <w:rsid w:val="00287431"/>
    <w:rsid w:val="002B5780"/>
    <w:rsid w:val="002D53CF"/>
    <w:rsid w:val="002D5B48"/>
    <w:rsid w:val="002E5441"/>
    <w:rsid w:val="002E7640"/>
    <w:rsid w:val="002F4590"/>
    <w:rsid w:val="00310920"/>
    <w:rsid w:val="00314ADF"/>
    <w:rsid w:val="00314BBD"/>
    <w:rsid w:val="0032185E"/>
    <w:rsid w:val="00325551"/>
    <w:rsid w:val="003466F2"/>
    <w:rsid w:val="00365C9A"/>
    <w:rsid w:val="00366666"/>
    <w:rsid w:val="00382C8B"/>
    <w:rsid w:val="003852D1"/>
    <w:rsid w:val="00395168"/>
    <w:rsid w:val="003C7401"/>
    <w:rsid w:val="003F40B1"/>
    <w:rsid w:val="00400681"/>
    <w:rsid w:val="00402F3A"/>
    <w:rsid w:val="0040502A"/>
    <w:rsid w:val="0040548A"/>
    <w:rsid w:val="00413E15"/>
    <w:rsid w:val="00433A3C"/>
    <w:rsid w:val="004444B1"/>
    <w:rsid w:val="00465AB2"/>
    <w:rsid w:val="0047173D"/>
    <w:rsid w:val="004719F3"/>
    <w:rsid w:val="004846EE"/>
    <w:rsid w:val="004A7BE0"/>
    <w:rsid w:val="004C10CD"/>
    <w:rsid w:val="004C47B9"/>
    <w:rsid w:val="005021B5"/>
    <w:rsid w:val="00511B94"/>
    <w:rsid w:val="005256D3"/>
    <w:rsid w:val="00566FC1"/>
    <w:rsid w:val="00574958"/>
    <w:rsid w:val="00582CE0"/>
    <w:rsid w:val="005841EE"/>
    <w:rsid w:val="005912A9"/>
    <w:rsid w:val="005C0011"/>
    <w:rsid w:val="005E09B8"/>
    <w:rsid w:val="005E4456"/>
    <w:rsid w:val="005F013A"/>
    <w:rsid w:val="006070CC"/>
    <w:rsid w:val="00630231"/>
    <w:rsid w:val="0064013D"/>
    <w:rsid w:val="00645D96"/>
    <w:rsid w:val="0064766F"/>
    <w:rsid w:val="00652B4C"/>
    <w:rsid w:val="0065509A"/>
    <w:rsid w:val="00655C72"/>
    <w:rsid w:val="0066104F"/>
    <w:rsid w:val="006713F7"/>
    <w:rsid w:val="006865C0"/>
    <w:rsid w:val="0069556D"/>
    <w:rsid w:val="0069642B"/>
    <w:rsid w:val="006A08B6"/>
    <w:rsid w:val="006B2823"/>
    <w:rsid w:val="006B7DBF"/>
    <w:rsid w:val="006C1D7E"/>
    <w:rsid w:val="006E089E"/>
    <w:rsid w:val="006E748D"/>
    <w:rsid w:val="0070787E"/>
    <w:rsid w:val="007300DF"/>
    <w:rsid w:val="00742B5E"/>
    <w:rsid w:val="00754D47"/>
    <w:rsid w:val="00754FE6"/>
    <w:rsid w:val="00764692"/>
    <w:rsid w:val="00770E53"/>
    <w:rsid w:val="00781122"/>
    <w:rsid w:val="00786F79"/>
    <w:rsid w:val="007B52E9"/>
    <w:rsid w:val="007C263D"/>
    <w:rsid w:val="007D69A6"/>
    <w:rsid w:val="007E2BD0"/>
    <w:rsid w:val="007E5B63"/>
    <w:rsid w:val="007E721D"/>
    <w:rsid w:val="007F47D6"/>
    <w:rsid w:val="007F6BD7"/>
    <w:rsid w:val="008102FB"/>
    <w:rsid w:val="00827927"/>
    <w:rsid w:val="00831AC9"/>
    <w:rsid w:val="00854BA2"/>
    <w:rsid w:val="00885919"/>
    <w:rsid w:val="008E4F2A"/>
    <w:rsid w:val="00914053"/>
    <w:rsid w:val="009163FC"/>
    <w:rsid w:val="00977BE3"/>
    <w:rsid w:val="0098262C"/>
    <w:rsid w:val="009B6F84"/>
    <w:rsid w:val="009E22EE"/>
    <w:rsid w:val="009E4B95"/>
    <w:rsid w:val="009E5CE2"/>
    <w:rsid w:val="00A13A0E"/>
    <w:rsid w:val="00A16B8E"/>
    <w:rsid w:val="00A3657C"/>
    <w:rsid w:val="00A43F2A"/>
    <w:rsid w:val="00A47EB2"/>
    <w:rsid w:val="00A578CF"/>
    <w:rsid w:val="00A71357"/>
    <w:rsid w:val="00A80A73"/>
    <w:rsid w:val="00A81FC4"/>
    <w:rsid w:val="00AB241D"/>
    <w:rsid w:val="00AC5445"/>
    <w:rsid w:val="00AC655F"/>
    <w:rsid w:val="00AE5D54"/>
    <w:rsid w:val="00B009D7"/>
    <w:rsid w:val="00B103FA"/>
    <w:rsid w:val="00B3196D"/>
    <w:rsid w:val="00B32310"/>
    <w:rsid w:val="00B52983"/>
    <w:rsid w:val="00B6009E"/>
    <w:rsid w:val="00B73F30"/>
    <w:rsid w:val="00B80578"/>
    <w:rsid w:val="00B92CE1"/>
    <w:rsid w:val="00BA1455"/>
    <w:rsid w:val="00BA177E"/>
    <w:rsid w:val="00BA7A76"/>
    <w:rsid w:val="00BD31B7"/>
    <w:rsid w:val="00BD6650"/>
    <w:rsid w:val="00BE4475"/>
    <w:rsid w:val="00BF64B9"/>
    <w:rsid w:val="00C10AFA"/>
    <w:rsid w:val="00C21D93"/>
    <w:rsid w:val="00C45E74"/>
    <w:rsid w:val="00C4715F"/>
    <w:rsid w:val="00C5528A"/>
    <w:rsid w:val="00C763C8"/>
    <w:rsid w:val="00C91F3E"/>
    <w:rsid w:val="00CC31D5"/>
    <w:rsid w:val="00CD59A5"/>
    <w:rsid w:val="00CE1FFB"/>
    <w:rsid w:val="00D14690"/>
    <w:rsid w:val="00D22E65"/>
    <w:rsid w:val="00D402C0"/>
    <w:rsid w:val="00D7012E"/>
    <w:rsid w:val="00D84DE5"/>
    <w:rsid w:val="00D931F5"/>
    <w:rsid w:val="00DC4259"/>
    <w:rsid w:val="00DD1A3C"/>
    <w:rsid w:val="00DD3D3A"/>
    <w:rsid w:val="00DD4BDB"/>
    <w:rsid w:val="00DD72D5"/>
    <w:rsid w:val="00DE4DCC"/>
    <w:rsid w:val="00DF0A93"/>
    <w:rsid w:val="00DF2C75"/>
    <w:rsid w:val="00E00AD4"/>
    <w:rsid w:val="00E277E0"/>
    <w:rsid w:val="00E31FEC"/>
    <w:rsid w:val="00E344F9"/>
    <w:rsid w:val="00E73715"/>
    <w:rsid w:val="00E966D7"/>
    <w:rsid w:val="00EB3273"/>
    <w:rsid w:val="00EB5F30"/>
    <w:rsid w:val="00EB6783"/>
    <w:rsid w:val="00EC163F"/>
    <w:rsid w:val="00EC5B9B"/>
    <w:rsid w:val="00ED3B22"/>
    <w:rsid w:val="00ED4BB1"/>
    <w:rsid w:val="00EE4995"/>
    <w:rsid w:val="00EE7522"/>
    <w:rsid w:val="00EF376E"/>
    <w:rsid w:val="00EF61C9"/>
    <w:rsid w:val="00F15D31"/>
    <w:rsid w:val="00F15DDA"/>
    <w:rsid w:val="00F258B8"/>
    <w:rsid w:val="00F31CEB"/>
    <w:rsid w:val="00F34FED"/>
    <w:rsid w:val="00F41A3C"/>
    <w:rsid w:val="00F41F95"/>
    <w:rsid w:val="00F54DF6"/>
    <w:rsid w:val="00F745C2"/>
    <w:rsid w:val="00F92778"/>
    <w:rsid w:val="00FC441F"/>
    <w:rsid w:val="00FC536C"/>
    <w:rsid w:val="00FD67D5"/>
    <w:rsid w:val="00FE135E"/>
    <w:rsid w:val="00FF0B3A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D985"/>
  <w15:chartTrackingRefBased/>
  <w15:docId w15:val="{E16290DF-F204-4B6A-896D-B7BE9A93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C26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5A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5A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5AB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E748D"/>
    <w:rPr>
      <w:b/>
      <w:bCs/>
    </w:rPr>
  </w:style>
  <w:style w:type="paragraph" w:customStyle="1" w:styleId="z1qcye">
    <w:name w:val="z1qcye"/>
    <w:basedOn w:val="Normalny"/>
    <w:rsid w:val="00D4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D402C0"/>
  </w:style>
  <w:style w:type="character" w:styleId="Hipercze">
    <w:name w:val="Hyperlink"/>
    <w:basedOn w:val="Domylnaczcionkaakapitu"/>
    <w:uiPriority w:val="99"/>
    <w:semiHidden/>
    <w:unhideWhenUsed/>
    <w:rsid w:val="00D402C0"/>
    <w:rPr>
      <w:color w:val="0000FF"/>
      <w:u w:val="single"/>
    </w:rPr>
  </w:style>
  <w:style w:type="character" w:customStyle="1" w:styleId="vndci">
    <w:name w:val="vndci"/>
    <w:basedOn w:val="Domylnaczcionkaakapitu"/>
    <w:rsid w:val="00D402C0"/>
  </w:style>
  <w:style w:type="character" w:styleId="Uwydatnienie">
    <w:name w:val="Emphasis"/>
    <w:basedOn w:val="Domylnaczcionkaakapitu"/>
    <w:uiPriority w:val="20"/>
    <w:qFormat/>
    <w:rsid w:val="007D69A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B5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B5E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42B5E"/>
  </w:style>
  <w:style w:type="character" w:styleId="Odwoaniedokomentarza">
    <w:name w:val="annotation reference"/>
    <w:basedOn w:val="Domylnaczcionkaakapitu"/>
    <w:uiPriority w:val="99"/>
    <w:semiHidden/>
    <w:unhideWhenUsed/>
    <w:rsid w:val="006C1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D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D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D7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D5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9A5"/>
  </w:style>
  <w:style w:type="paragraph" w:styleId="Stopka">
    <w:name w:val="footer"/>
    <w:basedOn w:val="Normalny"/>
    <w:link w:val="StopkaZnak"/>
    <w:uiPriority w:val="99"/>
    <w:unhideWhenUsed/>
    <w:rsid w:val="00CD5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67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742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48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621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19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45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44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93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021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0351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4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9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33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239148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402456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486394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329550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61434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830365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34654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1818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83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49420">
                                                  <w:marLeft w:val="0"/>
                                                  <w:marRight w:val="0"/>
                                                  <w:marTop w:val="54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0802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56983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77540">
                              <w:marLeft w:val="2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82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18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26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0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63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997248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7167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655661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8802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0605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391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68081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1087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5371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61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928252">
                                                  <w:marLeft w:val="0"/>
                                                  <w:marRight w:val="0"/>
                                                  <w:marTop w:val="54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93983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8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8415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41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1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8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52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833275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343676">
                                              <w:marLeft w:val="0"/>
                                              <w:marRight w:val="0"/>
                                              <w:marTop w:val="48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87554">
                                              <w:marLeft w:val="0"/>
                                              <w:marRight w:val="0"/>
                                              <w:marTop w:val="54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767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8980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1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88704">
                                                  <w:marLeft w:val="0"/>
                                                  <w:marRight w:val="0"/>
                                                  <w:marTop w:val="54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9710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Majorek</dc:creator>
  <cp:keywords/>
  <dc:description/>
  <cp:lastModifiedBy>Adam Mozdzen</cp:lastModifiedBy>
  <cp:revision>30</cp:revision>
  <cp:lastPrinted>2026-05-27T05:25:00Z</cp:lastPrinted>
  <dcterms:created xsi:type="dcterms:W3CDTF">2026-07-07T11:03:00Z</dcterms:created>
  <dcterms:modified xsi:type="dcterms:W3CDTF">2026-07-22T11:36:00Z</dcterms:modified>
</cp:coreProperties>
</file>